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2D1D9D11" w:rsidR="00415B04" w:rsidRDefault="007C56E8">
            <w:pPr>
              <w:autoSpaceDE w:val="0"/>
              <w:autoSpaceDN w:val="0"/>
              <w:spacing w:line="360" w:lineRule="auto"/>
              <w:rPr>
                <w:sz w:val="24"/>
                <w:szCs w:val="24"/>
              </w:rPr>
            </w:pPr>
            <w:r>
              <w:rPr>
                <w:sz w:val="24"/>
                <w:szCs w:val="24"/>
              </w:rPr>
              <w:t>0</w:t>
            </w:r>
            <w:r w:rsidR="00ED6A5F">
              <w:rPr>
                <w:sz w:val="24"/>
                <w:szCs w:val="24"/>
              </w:rPr>
              <w:t>3</w:t>
            </w:r>
            <w:r>
              <w:rPr>
                <w:sz w:val="24"/>
                <w:szCs w:val="24"/>
              </w:rPr>
              <w:t>.02.20</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773938D1" w:rsidR="00415B04" w:rsidRDefault="00415B04">
            <w:pPr>
              <w:autoSpaceDE w:val="0"/>
              <w:autoSpaceDN w:val="0"/>
              <w:spacing w:line="360" w:lineRule="auto"/>
              <w:rPr>
                <w:sz w:val="24"/>
                <w:szCs w:val="24"/>
              </w:rPr>
            </w:pP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03553C83" w:rsidR="00415B04" w:rsidRDefault="007C56E8">
            <w:pPr>
              <w:autoSpaceDE w:val="0"/>
              <w:autoSpaceDN w:val="0"/>
              <w:spacing w:line="360" w:lineRule="auto"/>
              <w:rPr>
                <w:sz w:val="24"/>
                <w:szCs w:val="24"/>
              </w:rPr>
            </w:pPr>
            <w:r>
              <w:rPr>
                <w:sz w:val="24"/>
                <w:szCs w:val="24"/>
              </w:rPr>
              <w:t>VRV Summit in Copenhagen</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2E27EBFB" w:rsidR="00415B04" w:rsidRDefault="007C56E8">
            <w:pPr>
              <w:autoSpaceDE w:val="0"/>
              <w:autoSpaceDN w:val="0"/>
              <w:spacing w:line="360" w:lineRule="auto"/>
              <w:rPr>
                <w:sz w:val="24"/>
                <w:szCs w:val="24"/>
              </w:rPr>
            </w:pPr>
            <w:r>
              <w:rPr>
                <w:sz w:val="24"/>
                <w:szCs w:val="24"/>
              </w:rPr>
              <w:t>Company announcement</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329D84B0" w:rsidR="00415B04" w:rsidRDefault="007C56E8">
            <w:pPr>
              <w:spacing w:line="360" w:lineRule="auto"/>
              <w:rPr>
                <w:sz w:val="24"/>
                <w:szCs w:val="24"/>
              </w:rPr>
            </w:pPr>
            <w:r>
              <w:rPr>
                <w:sz w:val="24"/>
                <w:szCs w:val="24"/>
              </w:rPr>
              <w:t>Installers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52D7B772" w:rsidR="00415B04" w:rsidRDefault="007C56E8">
            <w:pPr>
              <w:spacing w:line="360" w:lineRule="auto"/>
              <w:rPr>
                <w:sz w:val="24"/>
                <w:szCs w:val="24"/>
              </w:rPr>
            </w:pPr>
            <w:r>
              <w:rPr>
                <w:sz w:val="24"/>
                <w:szCs w:val="24"/>
              </w:rPr>
              <w:t>Commercial, Construction, Architects</w:t>
            </w:r>
          </w:p>
        </w:tc>
      </w:tr>
      <w:tr w:rsidR="00415B04"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75FB7B9E" w:rsidR="00415B04" w:rsidRDefault="007C56E8">
            <w:pPr>
              <w:spacing w:line="360" w:lineRule="auto"/>
              <w:rPr>
                <w:sz w:val="24"/>
                <w:szCs w:val="24"/>
              </w:rPr>
            </w:pPr>
            <w:r>
              <w:rPr>
                <w:sz w:val="24"/>
                <w:szCs w:val="24"/>
              </w:rPr>
              <w:t>VRV, HVAC, Circular Economy, Environment, Low GWP</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0D582AB0" w:rsidR="00415B04" w:rsidRDefault="00F541E7">
            <w:pPr>
              <w:spacing w:line="360" w:lineRule="auto"/>
              <w:rPr>
                <w:sz w:val="24"/>
                <w:szCs w:val="24"/>
              </w:rPr>
            </w:pPr>
            <w:r>
              <w:rPr>
                <w:sz w:val="24"/>
                <w:szCs w:val="24"/>
              </w:rPr>
              <w:t xml:space="preserve">VRV: </w:t>
            </w:r>
            <w:r w:rsidR="007C56E8">
              <w:rPr>
                <w:sz w:val="24"/>
                <w:szCs w:val="24"/>
              </w:rPr>
              <w:t xml:space="preserve">Daikin leads the way </w:t>
            </w:r>
            <w:r>
              <w:rPr>
                <w:sz w:val="24"/>
                <w:szCs w:val="24"/>
              </w:rPr>
              <w:t>in taking action for a more sustainable future</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1905E164" w:rsidR="00415B04" w:rsidRDefault="00F541E7">
            <w:pPr>
              <w:autoSpaceDE w:val="0"/>
              <w:autoSpaceDN w:val="0"/>
              <w:spacing w:line="360" w:lineRule="auto"/>
              <w:rPr>
                <w:sz w:val="24"/>
                <w:szCs w:val="24"/>
              </w:rPr>
            </w:pPr>
            <w:r>
              <w:rPr>
                <w:sz w:val="24"/>
                <w:szCs w:val="24"/>
              </w:rPr>
              <w:t>1.0</w:t>
            </w:r>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41D93891" w:rsidR="00415B04" w:rsidRDefault="00F541E7">
            <w:pPr>
              <w:spacing w:line="360" w:lineRule="auto"/>
              <w:ind w:right="1406"/>
              <w:rPr>
                <w:sz w:val="24"/>
                <w:szCs w:val="24"/>
                <w:lang w:val="en"/>
              </w:rPr>
            </w:pPr>
            <w:r>
              <w:rPr>
                <w:sz w:val="24"/>
                <w:szCs w:val="24"/>
                <w:lang w:val="en"/>
              </w:rPr>
              <w:t>Gil</w:t>
            </w:r>
            <w:r w:rsidR="009D741A">
              <w:rPr>
                <w:sz w:val="24"/>
                <w:szCs w:val="24"/>
                <w:lang w:val="en"/>
              </w:rPr>
              <w:t>l De Bruyne</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537EE296" w14:textId="77777777" w:rsidR="008000C9" w:rsidRPr="006A5B5D" w:rsidRDefault="008000C9" w:rsidP="008000C9">
      <w:pPr>
        <w:pStyle w:val="Headline"/>
      </w:pPr>
      <w:r>
        <w:lastRenderedPageBreak/>
        <w:t xml:space="preserve">Action on sustainability: Daikin takes the lead </w:t>
      </w:r>
    </w:p>
    <w:p w14:paraId="0FE30849" w14:textId="633FC5F7" w:rsidR="005250A2" w:rsidRDefault="001B0667" w:rsidP="009B6529">
      <w:pPr>
        <w:pStyle w:val="BodyCopy"/>
      </w:pPr>
      <w:r>
        <w:fldChar w:fldCharType="begin"/>
      </w:r>
      <w:r>
        <w:instrText xml:space="preserve"> DATE \@ "MMMM d, yyyy" </w:instrText>
      </w:r>
      <w:r>
        <w:fldChar w:fldCharType="separate"/>
      </w:r>
      <w:r w:rsidR="008000C9">
        <w:rPr>
          <w:noProof/>
        </w:rPr>
        <w:t>February 3, 2020</w:t>
      </w:r>
      <w:r>
        <w:fldChar w:fldCharType="end"/>
      </w:r>
    </w:p>
    <w:p w14:paraId="13C189D3" w14:textId="77777777" w:rsidR="006A5B5D" w:rsidRDefault="006A5B5D" w:rsidP="006A5B5D"/>
    <w:p w14:paraId="72A638F7" w14:textId="0920F6D1" w:rsidR="009A723B" w:rsidRDefault="009A01A6" w:rsidP="00391849">
      <w:pPr>
        <w:pStyle w:val="Introduction"/>
      </w:pPr>
      <w:r>
        <w:t>This week saw over 500 delegates gather in Copenhagen for</w:t>
      </w:r>
      <w:r w:rsidR="00E95BB1">
        <w:t xml:space="preserve"> </w:t>
      </w:r>
      <w:r w:rsidR="00D625D6">
        <w:t>the Daikin</w:t>
      </w:r>
      <w:r w:rsidR="004041C4">
        <w:t xml:space="preserve"> VRV Summi</w:t>
      </w:r>
      <w:r w:rsidR="00E95BB1">
        <w:t>t</w:t>
      </w:r>
      <w:r w:rsidR="00D625D6">
        <w:t>,</w:t>
      </w:r>
      <w:r w:rsidR="00CB3118">
        <w:t xml:space="preserve"> where the company outlined</w:t>
      </w:r>
      <w:r w:rsidR="00E81FED">
        <w:t xml:space="preserve"> the</w:t>
      </w:r>
      <w:r w:rsidR="004041C4">
        <w:t xml:space="preserve"> major</w:t>
      </w:r>
      <w:r w:rsidR="009D741A">
        <w:t xml:space="preserve"> </w:t>
      </w:r>
      <w:r w:rsidR="00E95BB1">
        <w:t xml:space="preserve">advances </w:t>
      </w:r>
      <w:r w:rsidR="002635C5">
        <w:t>put in place</w:t>
      </w:r>
      <w:r w:rsidR="00E95BB1" w:rsidRPr="009A723B">
        <w:t xml:space="preserve"> </w:t>
      </w:r>
      <w:r w:rsidR="009A723B" w:rsidRPr="009A723B">
        <w:t xml:space="preserve">to lower the environmental impact of climate control systems, in </w:t>
      </w:r>
      <w:r w:rsidR="004041C4">
        <w:t>support of its</w:t>
      </w:r>
      <w:r w:rsidR="009A723B" w:rsidRPr="009A723B">
        <w:t xml:space="preserve"> </w:t>
      </w:r>
      <w:r w:rsidR="009D741A">
        <w:t xml:space="preserve">goal to </w:t>
      </w:r>
      <w:r w:rsidR="004041C4">
        <w:t>achieve</w:t>
      </w:r>
      <w:r w:rsidR="004041C4" w:rsidRPr="009A723B">
        <w:t xml:space="preserve"> </w:t>
      </w:r>
      <w:r w:rsidR="009A723B" w:rsidRPr="009A723B">
        <w:t>CO</w:t>
      </w:r>
      <w:r w:rsidR="009A723B" w:rsidRPr="00D01A1F">
        <w:rPr>
          <w:vertAlign w:val="subscript"/>
        </w:rPr>
        <w:t>2</w:t>
      </w:r>
      <w:r w:rsidR="009A723B" w:rsidRPr="009A723B">
        <w:t xml:space="preserve"> neutrality by 2050</w:t>
      </w:r>
      <w:r w:rsidR="00CB3118">
        <w:t>.</w:t>
      </w:r>
      <w:r w:rsidR="00EA1024">
        <w:t xml:space="preserve"> </w:t>
      </w:r>
      <w:r w:rsidR="00CB3118">
        <w:t>Daikin’s business partners were also introduced to a range of new</w:t>
      </w:r>
      <w:r w:rsidR="00EA1024">
        <w:t xml:space="preserve"> products and initiatives including the high efficiency</w:t>
      </w:r>
      <w:r w:rsidR="00201025">
        <w:t>,</w:t>
      </w:r>
      <w:r w:rsidR="00EA1024">
        <w:t xml:space="preserve"> </w:t>
      </w:r>
      <w:r w:rsidR="00D625D6">
        <w:t xml:space="preserve">low GWP </w:t>
      </w:r>
      <w:r w:rsidR="00EA1024">
        <w:t>Daikin mini VRV 5</w:t>
      </w:r>
      <w:r w:rsidR="00D625D6">
        <w:t xml:space="preserve"> </w:t>
      </w:r>
      <w:r w:rsidR="00EA1024">
        <w:t>and the pioneering L</w:t>
      </w:r>
      <w:r w:rsidR="00201025">
        <w:t>∞P by Daikin</w:t>
      </w:r>
      <w:r w:rsidR="00EA1024">
        <w:t xml:space="preserve"> scheme which reuses refrigerant</w:t>
      </w:r>
      <w:r w:rsidR="00CB3118">
        <w:t xml:space="preserve"> for new VRV systems</w:t>
      </w:r>
      <w:r w:rsidR="00EA1024">
        <w:t>.</w:t>
      </w:r>
    </w:p>
    <w:p w14:paraId="02D12B10" w14:textId="42DBC4EC" w:rsidR="00137D26" w:rsidRDefault="00EA1024" w:rsidP="009A01A6">
      <w:pPr>
        <w:pStyle w:val="BodyCopy"/>
      </w:pPr>
      <w:r>
        <w:t xml:space="preserve">Under the </w:t>
      </w:r>
      <w:r w:rsidR="008039C4">
        <w:t xml:space="preserve">umbrella </w:t>
      </w:r>
      <w:r>
        <w:t>theme of</w:t>
      </w:r>
      <w:r w:rsidR="008043FE">
        <w:rPr>
          <w:b/>
          <w:bCs/>
        </w:rPr>
        <w:t xml:space="preserve"> ‘</w:t>
      </w:r>
      <w:r w:rsidR="002635C5" w:rsidRPr="009A01A6">
        <w:rPr>
          <w:b/>
          <w:bCs/>
        </w:rPr>
        <w:t>Creating a sustainable future together</w:t>
      </w:r>
      <w:r w:rsidR="008043FE">
        <w:rPr>
          <w:b/>
          <w:bCs/>
        </w:rPr>
        <w:t>’</w:t>
      </w:r>
      <w:r w:rsidR="002635C5">
        <w:t>, t</w:t>
      </w:r>
      <w:r w:rsidR="00712B10">
        <w:t xml:space="preserve">he </w:t>
      </w:r>
      <w:r w:rsidR="008043FE">
        <w:t>S</w:t>
      </w:r>
      <w:r w:rsidR="00712B10">
        <w:t>ummit explored a</w:t>
      </w:r>
      <w:r w:rsidR="009A723B" w:rsidRPr="009A723B">
        <w:t xml:space="preserve"> wide variety of products and services that contribute to reducing CO</w:t>
      </w:r>
      <w:r w:rsidR="009A723B" w:rsidRPr="00E36203">
        <w:rPr>
          <w:vertAlign w:val="subscript"/>
        </w:rPr>
        <w:t>2</w:t>
      </w:r>
      <w:r w:rsidR="009A723B" w:rsidRPr="009A723B">
        <w:t xml:space="preserve"> emissions and avoid </w:t>
      </w:r>
      <w:r w:rsidR="00712B10">
        <w:t xml:space="preserve">the </w:t>
      </w:r>
      <w:r w:rsidR="009A723B" w:rsidRPr="009A723B">
        <w:t xml:space="preserve">depletion </w:t>
      </w:r>
      <w:r w:rsidR="00712B10">
        <w:t xml:space="preserve">of </w:t>
      </w:r>
      <w:r w:rsidR="009A723B" w:rsidRPr="009A723B">
        <w:t xml:space="preserve">natural resources, through </w:t>
      </w:r>
      <w:r w:rsidR="00712B10">
        <w:t xml:space="preserve">a series of </w:t>
      </w:r>
      <w:r w:rsidR="009A723B" w:rsidRPr="009A723B">
        <w:t>informative lectures, workshops and displays.</w:t>
      </w:r>
      <w:r w:rsidR="0021300E">
        <w:t xml:space="preserve"> </w:t>
      </w:r>
    </w:p>
    <w:p w14:paraId="4630B300" w14:textId="2733A933" w:rsidR="00CB3118" w:rsidRPr="00391849" w:rsidRDefault="00D625D6" w:rsidP="009A01A6">
      <w:pPr>
        <w:pStyle w:val="BodyCopy"/>
      </w:pPr>
      <w:r>
        <w:t>New products such as the new VRV 5 with over 70% lower GWP, the adoption of a circular economy through the reuse of refrigerant and the use of intelligent controls such as the Daikin Cloud were among recent innovations profiled by Daikin</w:t>
      </w:r>
    </w:p>
    <w:p w14:paraId="1312435A" w14:textId="77777777" w:rsidR="00D625D6" w:rsidRDefault="00D625D6" w:rsidP="00D625D6">
      <w:pPr>
        <w:pStyle w:val="BodyCopy"/>
      </w:pPr>
      <w:r>
        <w:t xml:space="preserve">Delegates were also taken through a comprehensive overview of field service tools, design support software and simplified logistics delivered through a dedicated customer portal, which demonstrate the 360° support Daikin offers to its business partners. </w:t>
      </w:r>
    </w:p>
    <w:p w14:paraId="41189284" w14:textId="3AD81623" w:rsidR="00BF3DAC" w:rsidRDefault="008039C4" w:rsidP="00723B42">
      <w:pPr>
        <w:pStyle w:val="BodyCopy"/>
      </w:pPr>
      <w:r>
        <w:t xml:space="preserve">Reflecting </w:t>
      </w:r>
      <w:r w:rsidR="00802523">
        <w:t xml:space="preserve">the </w:t>
      </w:r>
      <w:r w:rsidR="00ED6A5F">
        <w:t xml:space="preserve">Summit’s </w:t>
      </w:r>
      <w:r>
        <w:t xml:space="preserve">focus on </w:t>
      </w:r>
      <w:r w:rsidR="00ED6A5F">
        <w:t>sustainability theme</w:t>
      </w:r>
      <w:r w:rsidR="002635C5">
        <w:t>,</w:t>
      </w:r>
      <w:r w:rsidR="00EA1024">
        <w:t xml:space="preserve"> </w:t>
      </w:r>
      <w:r>
        <w:t>Copenhagen - named</w:t>
      </w:r>
      <w:r w:rsidR="00EA1024">
        <w:t xml:space="preserve"> ‘Europe’s</w:t>
      </w:r>
      <w:r>
        <w:t xml:space="preserve"> Green Capital’ in 2014 - was the aptly chosen venue, where </w:t>
      </w:r>
      <w:r w:rsidR="00EA1024">
        <w:t>delegates</w:t>
      </w:r>
      <w:r>
        <w:t xml:space="preserve"> enjoyed the full ‘Green Experience’. Th</w:t>
      </w:r>
      <w:r w:rsidR="00723B42">
        <w:t>is involved going</w:t>
      </w:r>
      <w:bookmarkStart w:id="0" w:name="_GoBack"/>
      <w:bookmarkEnd w:id="0"/>
      <w:r w:rsidR="00723B42">
        <w:t xml:space="preserve"> completely paperless,</w:t>
      </w:r>
      <w:r w:rsidR="00802523">
        <w:t xml:space="preserve"> </w:t>
      </w:r>
      <w:r w:rsidR="00ED6A5F">
        <w:t xml:space="preserve">as well as </w:t>
      </w:r>
      <w:r w:rsidR="00723B42">
        <w:t xml:space="preserve">the use of local public transportation and </w:t>
      </w:r>
      <w:r w:rsidR="009D741A">
        <w:t>locally sourced</w:t>
      </w:r>
      <w:r w:rsidR="00723B42">
        <w:t xml:space="preserve"> food. All CO</w:t>
      </w:r>
      <w:r w:rsidR="00723B42" w:rsidRPr="00B72B8B">
        <w:rPr>
          <w:vertAlign w:val="subscript"/>
        </w:rPr>
        <w:t>2</w:t>
      </w:r>
      <w:r w:rsidR="00723B42">
        <w:t xml:space="preserve"> emissions resulting from participants' arrivals and departures were offset by Daikin, making this a fully carbon neutral </w:t>
      </w:r>
      <w:r w:rsidR="00802523">
        <w:t>e</w:t>
      </w:r>
      <w:r>
        <w:t>vent</w:t>
      </w:r>
      <w:r w:rsidR="00723B42">
        <w:t xml:space="preserve">. The donations for the offset go to a project in Rajasthan, India, to support farmers who send their harvest waste to a biomass plant for power generation. </w:t>
      </w:r>
      <w:r>
        <w:t>reducing</w:t>
      </w:r>
      <w:r w:rsidR="00723B42">
        <w:t xml:space="preserve"> CO</w:t>
      </w:r>
      <w:r w:rsidR="00723B42" w:rsidRPr="00383E7F">
        <w:rPr>
          <w:vertAlign w:val="subscript"/>
        </w:rPr>
        <w:t>2</w:t>
      </w:r>
      <w:r w:rsidR="00723B42">
        <w:t xml:space="preserve"> emissions and</w:t>
      </w:r>
      <w:r>
        <w:t xml:space="preserve"> generating</w:t>
      </w:r>
      <w:r w:rsidR="00723B42">
        <w:t xml:space="preserve"> more jobs in the region. </w:t>
      </w:r>
    </w:p>
    <w:p w14:paraId="1676E602" w14:textId="0ED61057" w:rsidR="00723B42" w:rsidRDefault="00723B42" w:rsidP="00723B42">
      <w:pPr>
        <w:pStyle w:val="BodyCopy"/>
      </w:pPr>
      <w:r>
        <w:t xml:space="preserve">A diversified </w:t>
      </w:r>
      <w:proofErr w:type="spellStart"/>
      <w:r>
        <w:t>programme</w:t>
      </w:r>
      <w:proofErr w:type="spellEnd"/>
      <w:r>
        <w:t xml:space="preserve"> of cultural events rounded off the </w:t>
      </w:r>
      <w:r w:rsidR="00204D8A">
        <w:t>VRV Summit for 2020</w:t>
      </w:r>
      <w:r>
        <w:t xml:space="preserve">. </w:t>
      </w:r>
    </w:p>
    <w:p w14:paraId="7548F4B0" w14:textId="77777777" w:rsidR="00D625D6" w:rsidRDefault="00D625D6" w:rsidP="00D625D6">
      <w:pPr>
        <w:pStyle w:val="BodyCopy"/>
        <w:rPr>
          <w:rStyle w:val="Hyperlink"/>
          <w:color w:val="0083C1" w:themeColor="background1"/>
        </w:rPr>
      </w:pPr>
      <w:r>
        <w:t xml:space="preserve">For more information visit  </w:t>
      </w:r>
      <w:hyperlink r:id="rId11" w:history="1">
        <w:r w:rsidRPr="00723B42">
          <w:rPr>
            <w:rStyle w:val="Hyperlink"/>
            <w:color w:val="0083C1" w:themeColor="background1"/>
          </w:rPr>
          <w:t>www.daikin.eu/building-a-circular-economy</w:t>
        </w:r>
      </w:hyperlink>
      <w:r>
        <w:rPr>
          <w:color w:val="0083C1" w:themeColor="background1"/>
        </w:rPr>
        <w:t xml:space="preserve"> </w:t>
      </w:r>
      <w:r>
        <w:t xml:space="preserve"> or</w:t>
      </w:r>
      <w:r>
        <w:rPr>
          <w:rFonts w:eastAsia="MS Mincho" w:cs="Times New Roman"/>
          <w:color w:val="0083C1" w:themeColor="background1"/>
          <w:sz w:val="24"/>
          <w:szCs w:val="24"/>
          <w:lang w:val="en-GB"/>
        </w:rPr>
        <w:t xml:space="preserve"> </w:t>
      </w:r>
      <w:r>
        <w:t xml:space="preserve"> </w:t>
      </w:r>
      <w:hyperlink r:id="rId12" w:history="1">
        <w:r w:rsidRPr="00723B42">
          <w:rPr>
            <w:rStyle w:val="Hyperlink"/>
            <w:color w:val="0083C1" w:themeColor="background1"/>
          </w:rPr>
          <w:t>www.daikin.eu/VRV5</w:t>
        </w:r>
      </w:hyperlink>
    </w:p>
    <w:p w14:paraId="65E64171" w14:textId="53977AA5" w:rsidR="00D55C54" w:rsidRPr="00D625D6" w:rsidRDefault="00D55C54" w:rsidP="00D625D6">
      <w:pPr>
        <w:pStyle w:val="BodyCopy"/>
        <w:rPr>
          <w:color w:val="0083C1" w:themeColor="background1"/>
        </w:rPr>
      </w:pPr>
      <w:r w:rsidRPr="00D625D6">
        <w:rPr>
          <w:color w:val="0083C1" w:themeColor="background1"/>
        </w:rPr>
        <w:t>Ends</w:t>
      </w:r>
    </w:p>
    <w:p w14:paraId="5F9EEBB0" w14:textId="77777777" w:rsidR="00914B28" w:rsidRPr="008A772E" w:rsidRDefault="00D55C54" w:rsidP="008A772E">
      <w:pPr>
        <w:pStyle w:val="Introduction"/>
        <w:rPr>
          <w:bCs w:val="0"/>
        </w:rPr>
      </w:pPr>
      <w:r w:rsidRPr="008A772E">
        <w:lastRenderedPageBreak/>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777777" w:rsidR="001B0667" w:rsidRPr="008000C9" w:rsidRDefault="001B0667" w:rsidP="001B0667">
      <w:pPr>
        <w:pStyle w:val="BodyCopy"/>
        <w:rPr>
          <w:lang w:val="fr-FR"/>
        </w:rPr>
      </w:pPr>
      <w:r w:rsidRPr="008000C9">
        <w:rPr>
          <w:lang w:val="fr-FR"/>
        </w:rPr>
        <w:t xml:space="preserve">Anju Sarpal: +44 7980 785572/Charmaine Kimpton +44 7414 749973 </w:t>
      </w:r>
      <w:proofErr w:type="spellStart"/>
      <w:r w:rsidRPr="008000C9">
        <w:rPr>
          <w:lang w:val="fr-FR"/>
        </w:rPr>
        <w:t>or</w:t>
      </w:r>
      <w:proofErr w:type="spellEnd"/>
      <w:r w:rsidRPr="008000C9">
        <w:rPr>
          <w:lang w:val="fr-FR"/>
        </w:rPr>
        <w:t xml:space="preserve"> email</w:t>
      </w:r>
    </w:p>
    <w:p w14:paraId="3E78E077" w14:textId="77777777" w:rsidR="001B0667" w:rsidRPr="008000C9" w:rsidRDefault="00383E7F" w:rsidP="001B0667">
      <w:pPr>
        <w:pStyle w:val="BodyCopy"/>
        <w:rPr>
          <w:lang w:val="fr-FR"/>
        </w:rPr>
      </w:pPr>
      <w:hyperlink r:id="rId13" w:history="1">
        <w:r w:rsidR="001B0667" w:rsidRPr="008000C9">
          <w:rPr>
            <w:rStyle w:val="Hyperlink"/>
            <w:color w:val="0083C1" w:themeColor="background1"/>
            <w:lang w:val="fr-FR"/>
          </w:rPr>
          <w:t>Daikin-News@sheremarketing.co.uk</w:t>
        </w:r>
      </w:hyperlink>
    </w:p>
    <w:p w14:paraId="05F0D0D2" w14:textId="77777777" w:rsidR="00914B28" w:rsidRPr="008000C9" w:rsidRDefault="00914B28" w:rsidP="00D55C54">
      <w:pPr>
        <w:rPr>
          <w:lang w:val="fr-FR"/>
        </w:rPr>
      </w:pPr>
    </w:p>
    <w:sectPr w:rsidR="00914B28" w:rsidRPr="008000C9" w:rsidSect="00391849">
      <w:headerReference w:type="default" r:id="rId14"/>
      <w:footerReference w:type="default" r:id="rId15"/>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B00EE" w14:textId="77777777" w:rsidR="00746A25" w:rsidRDefault="00746A25" w:rsidP="00137D26">
      <w:r>
        <w:separator/>
      </w:r>
    </w:p>
  </w:endnote>
  <w:endnote w:type="continuationSeparator" w:id="0">
    <w:p w14:paraId="62CF00C9" w14:textId="77777777" w:rsidR="00746A25" w:rsidRDefault="00746A25"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7728"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383E7F"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E77768" w14:textId="77777777" w:rsidR="00746A25" w:rsidRDefault="00746A25" w:rsidP="00137D26">
      <w:r>
        <w:separator/>
      </w:r>
    </w:p>
  </w:footnote>
  <w:footnote w:type="continuationSeparator" w:id="0">
    <w:p w14:paraId="18C66DB3" w14:textId="77777777" w:rsidR="00746A25" w:rsidRDefault="00746A25"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5EAB"/>
    <w:rsid w:val="001855AF"/>
    <w:rsid w:val="00185D2A"/>
    <w:rsid w:val="001932D1"/>
    <w:rsid w:val="001B0667"/>
    <w:rsid w:val="001C36CE"/>
    <w:rsid w:val="001C50CA"/>
    <w:rsid w:val="001E09ED"/>
    <w:rsid w:val="001F1648"/>
    <w:rsid w:val="00201025"/>
    <w:rsid w:val="00203538"/>
    <w:rsid w:val="00204D8A"/>
    <w:rsid w:val="002113C3"/>
    <w:rsid w:val="0021300E"/>
    <w:rsid w:val="00216755"/>
    <w:rsid w:val="00257D4E"/>
    <w:rsid w:val="0026092F"/>
    <w:rsid w:val="002635C5"/>
    <w:rsid w:val="00276E2E"/>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3E7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41C4"/>
    <w:rsid w:val="00406228"/>
    <w:rsid w:val="00410B7A"/>
    <w:rsid w:val="004122B7"/>
    <w:rsid w:val="00415B04"/>
    <w:rsid w:val="0041780C"/>
    <w:rsid w:val="004278DB"/>
    <w:rsid w:val="00436F6C"/>
    <w:rsid w:val="004408C0"/>
    <w:rsid w:val="00440C0E"/>
    <w:rsid w:val="00452601"/>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99E"/>
    <w:rsid w:val="00563CA8"/>
    <w:rsid w:val="0058361C"/>
    <w:rsid w:val="005856CC"/>
    <w:rsid w:val="00591880"/>
    <w:rsid w:val="005B2ACB"/>
    <w:rsid w:val="005B4729"/>
    <w:rsid w:val="005B48B9"/>
    <w:rsid w:val="005B7930"/>
    <w:rsid w:val="005E2077"/>
    <w:rsid w:val="006009B6"/>
    <w:rsid w:val="00600F81"/>
    <w:rsid w:val="00606360"/>
    <w:rsid w:val="006423F2"/>
    <w:rsid w:val="00685F0D"/>
    <w:rsid w:val="00692B98"/>
    <w:rsid w:val="00693DC0"/>
    <w:rsid w:val="006A5B5D"/>
    <w:rsid w:val="006D533C"/>
    <w:rsid w:val="006E3B03"/>
    <w:rsid w:val="006E441D"/>
    <w:rsid w:val="006E5B79"/>
    <w:rsid w:val="006E7698"/>
    <w:rsid w:val="006F58A2"/>
    <w:rsid w:val="007004E9"/>
    <w:rsid w:val="0071291E"/>
    <w:rsid w:val="00712B10"/>
    <w:rsid w:val="007145EE"/>
    <w:rsid w:val="0071740C"/>
    <w:rsid w:val="00723B42"/>
    <w:rsid w:val="00723CB7"/>
    <w:rsid w:val="00743631"/>
    <w:rsid w:val="00746A25"/>
    <w:rsid w:val="00781ADD"/>
    <w:rsid w:val="007908F9"/>
    <w:rsid w:val="00797F32"/>
    <w:rsid w:val="007A521D"/>
    <w:rsid w:val="007B2CDF"/>
    <w:rsid w:val="007C56E8"/>
    <w:rsid w:val="008000C9"/>
    <w:rsid w:val="00801174"/>
    <w:rsid w:val="00802523"/>
    <w:rsid w:val="008039C4"/>
    <w:rsid w:val="008043FE"/>
    <w:rsid w:val="00805CEA"/>
    <w:rsid w:val="00835742"/>
    <w:rsid w:val="00835BEB"/>
    <w:rsid w:val="00844E38"/>
    <w:rsid w:val="00863405"/>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19D7"/>
    <w:rsid w:val="009A01A6"/>
    <w:rsid w:val="009A3630"/>
    <w:rsid w:val="009A4946"/>
    <w:rsid w:val="009A723B"/>
    <w:rsid w:val="009B0ABD"/>
    <w:rsid w:val="009B6529"/>
    <w:rsid w:val="009C1545"/>
    <w:rsid w:val="009D2FA7"/>
    <w:rsid w:val="009D73A6"/>
    <w:rsid w:val="009D741A"/>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E1BC5"/>
    <w:rsid w:val="00AE2181"/>
    <w:rsid w:val="00B26DE8"/>
    <w:rsid w:val="00B32476"/>
    <w:rsid w:val="00B40F0F"/>
    <w:rsid w:val="00B438FA"/>
    <w:rsid w:val="00B63095"/>
    <w:rsid w:val="00B67BB8"/>
    <w:rsid w:val="00B72B8B"/>
    <w:rsid w:val="00B73A9E"/>
    <w:rsid w:val="00B816F4"/>
    <w:rsid w:val="00B870EC"/>
    <w:rsid w:val="00BA5F89"/>
    <w:rsid w:val="00BB6D28"/>
    <w:rsid w:val="00BC73C3"/>
    <w:rsid w:val="00BD0496"/>
    <w:rsid w:val="00BD2756"/>
    <w:rsid w:val="00BD4CA4"/>
    <w:rsid w:val="00BF3DAC"/>
    <w:rsid w:val="00BF5203"/>
    <w:rsid w:val="00C04673"/>
    <w:rsid w:val="00C12068"/>
    <w:rsid w:val="00C50180"/>
    <w:rsid w:val="00C528E2"/>
    <w:rsid w:val="00C55412"/>
    <w:rsid w:val="00C64164"/>
    <w:rsid w:val="00C65B32"/>
    <w:rsid w:val="00C7000C"/>
    <w:rsid w:val="00C71D5A"/>
    <w:rsid w:val="00C7423D"/>
    <w:rsid w:val="00C86436"/>
    <w:rsid w:val="00CA6010"/>
    <w:rsid w:val="00CA6FDF"/>
    <w:rsid w:val="00CA7B53"/>
    <w:rsid w:val="00CB3118"/>
    <w:rsid w:val="00CC7C05"/>
    <w:rsid w:val="00D01A1F"/>
    <w:rsid w:val="00D03CC8"/>
    <w:rsid w:val="00D07426"/>
    <w:rsid w:val="00D172CA"/>
    <w:rsid w:val="00D52294"/>
    <w:rsid w:val="00D54049"/>
    <w:rsid w:val="00D55C54"/>
    <w:rsid w:val="00D625D6"/>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6203"/>
    <w:rsid w:val="00E3651D"/>
    <w:rsid w:val="00E431DA"/>
    <w:rsid w:val="00E5511B"/>
    <w:rsid w:val="00E55D29"/>
    <w:rsid w:val="00E56013"/>
    <w:rsid w:val="00E64D6C"/>
    <w:rsid w:val="00E81FED"/>
    <w:rsid w:val="00E827D8"/>
    <w:rsid w:val="00E82A4F"/>
    <w:rsid w:val="00E913B1"/>
    <w:rsid w:val="00E95BB1"/>
    <w:rsid w:val="00EA1024"/>
    <w:rsid w:val="00EA3DE7"/>
    <w:rsid w:val="00EC24A8"/>
    <w:rsid w:val="00EC32A0"/>
    <w:rsid w:val="00EC5E91"/>
    <w:rsid w:val="00ED6A5F"/>
    <w:rsid w:val="00ED6EC1"/>
    <w:rsid w:val="00EF6242"/>
    <w:rsid w:val="00EF7301"/>
    <w:rsid w:val="00F04E2A"/>
    <w:rsid w:val="00F15B86"/>
    <w:rsid w:val="00F21317"/>
    <w:rsid w:val="00F23523"/>
    <w:rsid w:val="00F278A7"/>
    <w:rsid w:val="00F371AA"/>
    <w:rsid w:val="00F443BC"/>
    <w:rsid w:val="00F45A6E"/>
    <w:rsid w:val="00F541E7"/>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semiHidden/>
    <w:unhideWhenUsed/>
    <w:rsid w:val="00723B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ikin-News@sheremarketing.co.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aikin.eu/VRV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ikin.eu/building-a-circular-econom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872C7541E90B4F88BEB8A8C1C42CB8" ma:contentTypeVersion="12" ma:contentTypeDescription="Een nieuw document maken." ma:contentTypeScope="" ma:versionID="b083ea84414de09daa6d86167c0849d4">
  <xsd:schema xmlns:xsd="http://www.w3.org/2001/XMLSchema" xmlns:xs="http://www.w3.org/2001/XMLSchema" xmlns:p="http://schemas.microsoft.com/office/2006/metadata/properties" xmlns:ns2="024ab663-3113-49e2-a8c6-71804d257e0c" xmlns:ns3="7e7ebea0-0f05-4d8d-876a-d9a546a6668a" targetNamespace="http://schemas.microsoft.com/office/2006/metadata/properties" ma:root="true" ma:fieldsID="3e4610fb14c16509f06265717ec50c31" ns2:_="" ns3:_="">
    <xsd:import namespace="024ab663-3113-49e2-a8c6-71804d257e0c"/>
    <xsd:import namespace="7e7ebea0-0f05-4d8d-876a-d9a546a666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ab663-3113-49e2-a8c6-71804d257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7ebea0-0f05-4d8d-876a-d9a546a666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3A343-B863-4F91-BC1E-834049E3F3A3}"/>
</file>

<file path=customXml/itemProps2.xml><?xml version="1.0" encoding="utf-8"?>
<ds:datastoreItem xmlns:ds="http://schemas.openxmlformats.org/officeDocument/2006/customXml" ds:itemID="{38F01EFC-FE54-43D3-9D86-0E80652304CC}">
  <ds:schemaRefs>
    <ds:schemaRef ds:uri="http://purl.org/dc/elements/1.1/"/>
    <ds:schemaRef ds:uri="http://schemas.microsoft.com/office/2006/metadata/properties"/>
    <ds:schemaRef ds:uri="http://schemas.microsoft.com/office/2006/documentManagement/types"/>
    <ds:schemaRef ds:uri="http://purl.org/dc/terms/"/>
    <ds:schemaRef ds:uri="024ab663-3113-49e2-a8c6-71804d257e0c"/>
    <ds:schemaRef ds:uri="http://purl.org/dc/dcmitype/"/>
    <ds:schemaRef ds:uri="http://schemas.microsoft.com/office/infopath/2007/PartnerControls"/>
    <ds:schemaRef ds:uri="http://schemas.openxmlformats.org/package/2006/metadata/core-properties"/>
    <ds:schemaRef ds:uri="7e7ebea0-0f05-4d8d-876a-d9a546a6668a"/>
    <ds:schemaRef ds:uri="http://www.w3.org/XML/1998/namespace"/>
  </ds:schemaRefs>
</ds:datastoreItem>
</file>

<file path=customXml/itemProps3.xml><?xml version="1.0" encoding="utf-8"?>
<ds:datastoreItem xmlns:ds="http://schemas.openxmlformats.org/officeDocument/2006/customXml" ds:itemID="{AC8B9615-1344-4822-88A8-54CDD354471F}">
  <ds:schemaRefs>
    <ds:schemaRef ds:uri="http://schemas.microsoft.com/sharepoint/v3/contenttype/forms"/>
  </ds:schemaRefs>
</ds:datastoreItem>
</file>

<file path=customXml/itemProps4.xml><?xml version="1.0" encoding="utf-8"?>
<ds:datastoreItem xmlns:ds="http://schemas.openxmlformats.org/officeDocument/2006/customXml" ds:itemID="{2DBFD044-92CE-4411-A4B5-0026C2E6E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549</Words>
  <Characters>3133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Gill De Bruyne</cp:lastModifiedBy>
  <cp:revision>25</cp:revision>
  <cp:lastPrinted>2016-05-31T11:31:00Z</cp:lastPrinted>
  <dcterms:created xsi:type="dcterms:W3CDTF">2016-06-20T13:55:00Z</dcterms:created>
  <dcterms:modified xsi:type="dcterms:W3CDTF">2020-02-03T10:14:00Z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0x0101004D872C7541E90B4F88BEB8A8C1C42CB8</vt:lpwstr>
  </property>
</Properties>
</file>