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EE296" w14:textId="77777777" w:rsidR="008000C9" w:rsidRPr="006A5B5D" w:rsidRDefault="008000C9" w:rsidP="009D3F7B">
      <w:pPr>
        <w:pStyle w:val="Headline"/>
        <w:jc w:val="both"/>
      </w:pPr>
      <w:r>
        <w:t xml:space="preserve">Acciones sostenibles: Daikin toma la delantera </w:t>
      </w:r>
    </w:p>
    <w:p w14:paraId="0FE30849" w14:textId="71EA818C" w:rsidR="005250A2" w:rsidRDefault="001B0667" w:rsidP="009D3F7B">
      <w:pPr>
        <w:pStyle w:val="BodyCopy"/>
        <w:jc w:val="both"/>
      </w:pPr>
      <w:r>
        <w:fldChar w:fldCharType="begin"/>
      </w:r>
      <w:r>
        <w:instrText xml:space="preserve"> DATE \@ "MMMM d, yyyy" </w:instrText>
      </w:r>
      <w:r>
        <w:fldChar w:fldCharType="separate"/>
      </w:r>
      <w:r w:rsidR="00B17119">
        <w:rPr>
          <w:noProof/>
        </w:rPr>
        <w:t>febrero 5, 2020</w:t>
      </w:r>
      <w:r>
        <w:fldChar w:fldCharType="end"/>
      </w:r>
    </w:p>
    <w:p w14:paraId="13C189D3" w14:textId="77777777" w:rsidR="006A5B5D" w:rsidRDefault="006A5B5D" w:rsidP="009D3F7B">
      <w:pPr>
        <w:jc w:val="both"/>
      </w:pPr>
    </w:p>
    <w:p w14:paraId="72A638F7" w14:textId="0920F6D1" w:rsidR="009A723B" w:rsidRDefault="009A01A6" w:rsidP="009D3F7B">
      <w:pPr>
        <w:pStyle w:val="Introduction"/>
        <w:jc w:val="both"/>
      </w:pPr>
      <w:r>
        <w:t>Esta semana reunió a más de 500 delegados en Copenhague para la conferencia sobre sistemas VRV de Daikin, donde la compañía destacó los avances más importantes puestos en práctica para reducir el impacto medioambiental de los sistemas de control climático, en apoyo de su objetivo de lograr emisiones neutras de CO</w:t>
      </w:r>
      <w:r>
        <w:rPr>
          <w:vertAlign w:val="subscript"/>
        </w:rPr>
        <w:t>2</w:t>
      </w:r>
      <w:r>
        <w:t xml:space="preserve"> para 2050. Los socios de negocio de Daikin también fueron testigos de la presentación de varios nuevos productos e iniciativas que incluían el sistema mini VRV 5 con GWP bajo y alta eficiencia de Daikin y el plan L∞P by Daikin, que reutiliza el refrigerante para los nuevos sistemas VRV.</w:t>
      </w:r>
    </w:p>
    <w:p w14:paraId="02D12B10" w14:textId="42DBC4EC" w:rsidR="00137D26" w:rsidRDefault="00EA1024" w:rsidP="009D3F7B">
      <w:pPr>
        <w:pStyle w:val="BodyCopy"/>
        <w:jc w:val="both"/>
      </w:pPr>
      <w:r>
        <w:t xml:space="preserve">Bajo el tema global </w:t>
      </w:r>
      <w:r>
        <w:rPr>
          <w:b/>
        </w:rPr>
        <w:t>"Creando un futuro sostenible juntos"</w:t>
      </w:r>
      <w:r>
        <w:t>, la conferencia abarcó un amplio abanico de productos y servicios que contribuyen a reducir las emisiones CO</w:t>
      </w:r>
      <w:r>
        <w:rPr>
          <w:vertAlign w:val="subscript"/>
        </w:rPr>
        <w:t>2</w:t>
      </w:r>
      <w:r>
        <w:t xml:space="preserve"> y a evitar el agotamiento de los recursos naturales, a través de una serie de charlas informativas, talleres y exhibiciones. </w:t>
      </w:r>
    </w:p>
    <w:p w14:paraId="4630B300" w14:textId="2733A933" w:rsidR="00CB3118" w:rsidRPr="00391849" w:rsidRDefault="00D625D6" w:rsidP="009D3F7B">
      <w:pPr>
        <w:pStyle w:val="BodyCopy"/>
        <w:jc w:val="both"/>
      </w:pPr>
      <w:r>
        <w:t>Nuevos productos como la nueva serie VRV 5 con un 70% menos de GWP, la adopción de una economía circular a través de la reutilización del refrigerante y el uso de controles inteligentes como el Daikin Cloud Service, fueron las innovaciones más recientes que presentó Daikin.</w:t>
      </w:r>
    </w:p>
    <w:p w14:paraId="1312435A" w14:textId="77777777" w:rsidR="00D625D6" w:rsidRDefault="00D625D6" w:rsidP="009D3F7B">
      <w:pPr>
        <w:pStyle w:val="BodyCopy"/>
        <w:jc w:val="both"/>
      </w:pPr>
      <w:r>
        <w:t xml:space="preserve">Los delegados también presenciaron una visión exhaustiva de las herramientas de servicio, el software de diseño y la logística simplificada a través de un portal específico para los clientes, que demostró el respaldo total que Daikin ofrece a sus socios de negocio. </w:t>
      </w:r>
    </w:p>
    <w:p w14:paraId="41189284" w14:textId="3AD81623" w:rsidR="00BF3DAC" w:rsidRDefault="008039C4" w:rsidP="009D3F7B">
      <w:pPr>
        <w:pStyle w:val="BodyCopy"/>
        <w:jc w:val="both"/>
      </w:pPr>
      <w:r>
        <w:t>Para reflejar el enfoque sostenible de la conferencia, Copenhague, designada como "Capital Verde Europea" en 2014, fue la sede elegida acertadamente, donde los delegados disfrutaron de una "experiencia totalmente ecológica". Esto supuso no utilizar papel, así como hacer uso del transporte público local y consumir alimentos de origen local. Todas las emisiones de CO</w:t>
      </w:r>
      <w:r>
        <w:rPr>
          <w:vertAlign w:val="subscript"/>
        </w:rPr>
        <w:t>2</w:t>
      </w:r>
      <w:r>
        <w:t xml:space="preserve"> como consecuencia de las salidas y llegadas de los participantes fueron compensadas por Daikin, lo que hizo de este un evento totalmente neutro en carbono. Los donativos de esta compensación se destinarán a un proyecto en el Rajastán, India, para apoyar a los granjeros que envían sus residuos agrícolas a una central de biomasa para generar energía, lo que reducirá las emisiones de CO</w:t>
      </w:r>
      <w:r w:rsidRPr="009D3F7B">
        <w:rPr>
          <w:vertAlign w:val="subscript"/>
        </w:rPr>
        <w:t>2</w:t>
      </w:r>
      <w:r>
        <w:t xml:space="preserve"> y creará más puestos de trabajo en la región. </w:t>
      </w:r>
    </w:p>
    <w:p w14:paraId="1676E602" w14:textId="0ED61057" w:rsidR="00723B42" w:rsidRDefault="00723B42" w:rsidP="009D3F7B">
      <w:pPr>
        <w:pStyle w:val="BodyCopy"/>
        <w:jc w:val="both"/>
      </w:pPr>
      <w:r>
        <w:lastRenderedPageBreak/>
        <w:t xml:space="preserve">Un diverso programa de eventos culturales completó la conferencia sobre sistemas VRV de 2020. </w:t>
      </w:r>
    </w:p>
    <w:p w14:paraId="7548F4B0" w14:textId="34A3B7B4" w:rsidR="00D625D6" w:rsidRDefault="00D625D6" w:rsidP="009D3F7B">
      <w:pPr>
        <w:pStyle w:val="BodyCopy"/>
        <w:jc w:val="both"/>
        <w:rPr>
          <w:rStyle w:val="Hyperlink"/>
          <w:color w:val="0083C1" w:themeColor="background1"/>
        </w:rPr>
      </w:pPr>
      <w:r>
        <w:t xml:space="preserve">Para obtener más información, visite </w:t>
      </w:r>
      <w:hyperlink r:id="rId11">
        <w:r>
          <w:rPr>
            <w:rStyle w:val="Hyperlink"/>
            <w:color w:val="0083C1" w:themeColor="background1"/>
          </w:rPr>
          <w:t>www.daikin.eu/building-a-circular-economy</w:t>
        </w:r>
      </w:hyperlink>
      <w:r>
        <w:rPr>
          <w:color w:val="0083C1" w:themeColor="background1"/>
        </w:rPr>
        <w:t xml:space="preserve"> </w:t>
      </w:r>
      <w:r>
        <w:t xml:space="preserve"> o</w:t>
      </w:r>
      <w:bookmarkStart w:id="0" w:name="_GoBack"/>
      <w:bookmarkEnd w:id="0"/>
      <w:r>
        <w:t xml:space="preserve"> </w:t>
      </w:r>
      <w:hyperlink r:id="rId12">
        <w:r>
          <w:rPr>
            <w:rStyle w:val="Hyperlink"/>
            <w:color w:val="0083C1" w:themeColor="background1"/>
          </w:rPr>
          <w:t>www.daikin.eu/VRV5</w:t>
        </w:r>
      </w:hyperlink>
    </w:p>
    <w:p w14:paraId="65E64171" w14:textId="53977AA5" w:rsidR="00D55C54" w:rsidRPr="00D625D6" w:rsidRDefault="00D55C54" w:rsidP="009D3F7B">
      <w:pPr>
        <w:pStyle w:val="BodyCopy"/>
        <w:jc w:val="both"/>
        <w:rPr>
          <w:color w:val="0083C1" w:themeColor="background1"/>
        </w:rPr>
      </w:pPr>
      <w:r>
        <w:rPr>
          <w:color w:val="0083C1" w:themeColor="background1"/>
        </w:rPr>
        <w:t>Fin</w:t>
      </w:r>
    </w:p>
    <w:p w14:paraId="5F9EEBB0" w14:textId="77777777" w:rsidR="00914B28" w:rsidRPr="008A772E" w:rsidRDefault="00D55C54" w:rsidP="009D3F7B">
      <w:pPr>
        <w:pStyle w:val="Introduction"/>
        <w:jc w:val="both"/>
        <w:rPr>
          <w:bCs w:val="0"/>
        </w:rPr>
      </w:pPr>
      <w:r>
        <w:t>NOTAS DEL EDITOR</w:t>
      </w:r>
    </w:p>
    <w:p w14:paraId="6EC4AB5B" w14:textId="77777777" w:rsidR="00914B28" w:rsidRPr="006A5B5D" w:rsidRDefault="00914B28" w:rsidP="009D3F7B">
      <w:pPr>
        <w:pStyle w:val="Subheading"/>
        <w:jc w:val="both"/>
      </w:pPr>
      <w:r>
        <w:t>Acerca de Daikin Europe N.V.</w:t>
      </w:r>
    </w:p>
    <w:p w14:paraId="09EEBBE5" w14:textId="77777777" w:rsidR="00914B28" w:rsidRDefault="00914B28" w:rsidP="009D3F7B">
      <w:pPr>
        <w:pStyle w:val="BodyCopy"/>
        <w:jc w:val="both"/>
      </w:pPr>
      <w:r>
        <w:t>Daikin Europe N.V. es el principal fabricante europeo de equipos de aire acondicionado, bombas de calor y productos de ventilación con aproximadamente 5.500 empleados en toda Europa y 10 instalaciones de producción ubicadas en Bélgica, la República Checa, Alemania, Italia, Turquía y el Reino Unido.</w:t>
      </w:r>
    </w:p>
    <w:p w14:paraId="26AB0128" w14:textId="77777777" w:rsidR="00914B28" w:rsidRDefault="00914B28" w:rsidP="009D3F7B">
      <w:pPr>
        <w:pStyle w:val="BodyCopy"/>
        <w:jc w:val="both"/>
      </w:pPr>
      <w:r>
        <w:t>La empresa Daikin es conocida mundialmente por su enfoque pionero en el desarrollo de productos y la calidad y versatilidad sin parangón de sus soluciones integradas. Con más de 90 años de experiencia en el diseño y fabricación de tecnologías de calefacción y refrigeración, Daikin es líder de mercado en la tecnología de bomba de calor. Daikin VRV y Daikin Altherma son los sistemas de bomba de calor más vendidos en Europa, con más de 500.000 sistemas fabricados hasta la fecha.</w:t>
      </w:r>
    </w:p>
    <w:p w14:paraId="09582185" w14:textId="77777777" w:rsidR="006A5B5D" w:rsidRDefault="006A5B5D" w:rsidP="009D3F7B">
      <w:pPr>
        <w:jc w:val="both"/>
      </w:pPr>
    </w:p>
    <w:p w14:paraId="150A9175" w14:textId="77777777" w:rsidR="006A5B5D" w:rsidRDefault="00D55C54" w:rsidP="009D3F7B">
      <w:pPr>
        <w:jc w:val="both"/>
      </w:pPr>
      <w:r>
        <w:t>……………………………………………………………………………………………………………………………………………………….</w:t>
      </w:r>
    </w:p>
    <w:p w14:paraId="517AFA70" w14:textId="77777777" w:rsidR="00D55C54" w:rsidRPr="008A772E" w:rsidRDefault="00D55C54" w:rsidP="009D3F7B">
      <w:pPr>
        <w:pStyle w:val="Introduction"/>
        <w:jc w:val="both"/>
        <w:rPr>
          <w:bCs w:val="0"/>
        </w:rPr>
      </w:pPr>
      <w:r>
        <w:t>MÁS INFORMACIÓN</w:t>
      </w:r>
    </w:p>
    <w:p w14:paraId="75E678B8" w14:textId="77777777" w:rsidR="00D55C54" w:rsidRPr="006A5B5D" w:rsidRDefault="00D55C54" w:rsidP="009D3F7B">
      <w:pPr>
        <w:pStyle w:val="Subheading"/>
        <w:jc w:val="both"/>
      </w:pPr>
      <w:r>
        <w:t>Contacto</w:t>
      </w:r>
    </w:p>
    <w:p w14:paraId="7C200A51" w14:textId="77777777" w:rsidR="001B0667" w:rsidRDefault="001B0667" w:rsidP="009D3F7B">
      <w:pPr>
        <w:pStyle w:val="BodyCopy"/>
        <w:jc w:val="both"/>
      </w:pPr>
      <w:r>
        <w:t xml:space="preserve">Para información a la prensa, póngase en contacto con: </w:t>
      </w:r>
    </w:p>
    <w:p w14:paraId="7438B4B1" w14:textId="77777777" w:rsidR="001B0667" w:rsidRPr="008000C9" w:rsidRDefault="001B0667" w:rsidP="009D3F7B">
      <w:pPr>
        <w:pStyle w:val="BodyCopy"/>
        <w:jc w:val="both"/>
      </w:pPr>
      <w:r>
        <w:t>Anju Sarpal: +44 7980 785572/Charmaine Kimpton +44 7414 749973 o correo electrónico</w:t>
      </w:r>
    </w:p>
    <w:p w14:paraId="3E78E077" w14:textId="77777777" w:rsidR="001B0667" w:rsidRPr="008000C9" w:rsidRDefault="00B17119" w:rsidP="009D3F7B">
      <w:pPr>
        <w:pStyle w:val="BodyCopy"/>
        <w:jc w:val="both"/>
      </w:pPr>
      <w:hyperlink r:id="rId13">
        <w:r w:rsidR="00803C20">
          <w:rPr>
            <w:rStyle w:val="Hyperlink"/>
            <w:color w:val="0083C1" w:themeColor="background1"/>
          </w:rPr>
          <w:t>Daikin-News@sheremarketing.co.uk</w:t>
        </w:r>
      </w:hyperlink>
    </w:p>
    <w:p w14:paraId="05F0D0D2" w14:textId="77777777" w:rsidR="00914B28" w:rsidRPr="008000C9" w:rsidRDefault="00914B28" w:rsidP="009D3F7B">
      <w:pPr>
        <w:jc w:val="both"/>
      </w:pPr>
    </w:p>
    <w:sectPr w:rsidR="00914B28" w:rsidRPr="008000C9" w:rsidSect="00391849">
      <w:headerReference w:type="default" r:id="rId14"/>
      <w:footerReference w:type="default" r:id="rId15"/>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0CB9AE" w14:textId="77777777" w:rsidR="00F5489B" w:rsidRDefault="00F5489B" w:rsidP="00137D26">
      <w:r>
        <w:separator/>
      </w:r>
    </w:p>
  </w:endnote>
  <w:endnote w:type="continuationSeparator" w:id="0">
    <w:p w14:paraId="7519AD48" w14:textId="77777777" w:rsidR="00F5489B" w:rsidRDefault="00F5489B"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37950" w14:textId="77777777" w:rsidR="00137D26" w:rsidRDefault="00137D26" w:rsidP="00137D26">
    <w:pPr>
      <w:pStyle w:val="Footer"/>
    </w:pPr>
  </w:p>
  <w:p w14:paraId="69C1F46F" w14:textId="77777777" w:rsidR="00137D26" w:rsidRDefault="00137D26" w:rsidP="00137D26">
    <w:pPr>
      <w:pStyle w:val="Footer"/>
    </w:pPr>
    <w:r>
      <w:rPr>
        <w:noProof/>
        <w:lang w:val="nl-BE" w:eastAsia="nl-BE" w:bidi="ar-SA"/>
      </w:rPr>
      <w:drawing>
        <wp:anchor distT="0" distB="0" distL="114300" distR="114300" simplePos="0" relativeHeight="251657728"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Footer"/>
    </w:pPr>
  </w:p>
  <w:p w14:paraId="21ADF719" w14:textId="77777777" w:rsidR="00137D26" w:rsidRDefault="00137D26" w:rsidP="00137D26">
    <w:pPr>
      <w:pStyle w:val="Footer"/>
    </w:pPr>
  </w:p>
  <w:p w14:paraId="29ED2CCF" w14:textId="77777777" w:rsidR="005250A2" w:rsidRDefault="005250A2" w:rsidP="00137D26">
    <w:pPr>
      <w:pStyle w:val="Footer"/>
    </w:pPr>
  </w:p>
  <w:sdt>
    <w:sdtPr>
      <w:id w:val="-1705238520"/>
      <w:docPartObj>
        <w:docPartGallery w:val="Page Numbers (Top of Page)"/>
        <w:docPartUnique/>
      </w:docPartObj>
    </w:sdtPr>
    <w:sdtEndPr/>
    <w:sdtContent>
      <w:p w14:paraId="0ADCD9EB" w14:textId="77777777" w:rsidR="00137D26" w:rsidRDefault="00137D26" w:rsidP="00137D26">
        <w:pPr>
          <w:pStyle w:val="Footer"/>
          <w:jc w:val="right"/>
          <w:rPr>
            <w:b/>
            <w:bCs/>
            <w:sz w:val="24"/>
            <w:szCs w:val="24"/>
          </w:rPr>
        </w:pPr>
        <w:r>
          <w:t xml:space="preserve">Página </w:t>
        </w:r>
        <w:r>
          <w:rPr>
            <w:b/>
            <w:bCs/>
            <w:sz w:val="24"/>
            <w:szCs w:val="24"/>
          </w:rPr>
          <w:fldChar w:fldCharType="begin"/>
        </w:r>
        <w:r>
          <w:rPr>
            <w:b/>
            <w:bCs/>
          </w:rPr>
          <w:instrText xml:space="preserve"> PAGE </w:instrText>
        </w:r>
        <w:r>
          <w:rPr>
            <w:b/>
            <w:bCs/>
            <w:sz w:val="24"/>
            <w:szCs w:val="24"/>
          </w:rPr>
          <w:fldChar w:fldCharType="separate"/>
        </w:r>
        <w:r w:rsidR="00B17119">
          <w:rPr>
            <w:b/>
            <w:bCs/>
            <w:noProof/>
          </w:rPr>
          <w:t>1</w:t>
        </w:r>
        <w:r>
          <w:rPr>
            <w:b/>
            <w:bCs/>
            <w:sz w:val="24"/>
            <w:szCs w:val="24"/>
          </w:rPr>
          <w:fldChar w:fldCharType="end"/>
        </w:r>
        <w:r>
          <w:t xml:space="preserve"> de </w:t>
        </w:r>
        <w:r>
          <w:rPr>
            <w:b/>
            <w:bCs/>
            <w:sz w:val="24"/>
            <w:szCs w:val="24"/>
          </w:rPr>
          <w:fldChar w:fldCharType="begin"/>
        </w:r>
        <w:r>
          <w:rPr>
            <w:b/>
            <w:bCs/>
          </w:rPr>
          <w:instrText xml:space="preserve"> NUMPAGES  </w:instrText>
        </w:r>
        <w:r>
          <w:rPr>
            <w:b/>
            <w:bCs/>
            <w:sz w:val="24"/>
            <w:szCs w:val="24"/>
          </w:rPr>
          <w:fldChar w:fldCharType="separate"/>
        </w:r>
        <w:r w:rsidR="00B17119">
          <w:rPr>
            <w:b/>
            <w:bCs/>
            <w:noProof/>
          </w:rPr>
          <w:t>2</w:t>
        </w:r>
        <w:r>
          <w:rPr>
            <w:b/>
            <w:bCs/>
            <w:sz w:val="24"/>
            <w:szCs w:val="24"/>
          </w:rPr>
          <w:fldChar w:fldCharType="end"/>
        </w:r>
      </w:p>
      <w:p w14:paraId="55A0C23E" w14:textId="77777777" w:rsidR="00137D26" w:rsidRDefault="00137D26" w:rsidP="00137D26">
        <w:pPr>
          <w:pStyle w:val="Footer"/>
          <w:jc w:val="right"/>
          <w:rPr>
            <w:b/>
            <w:bCs/>
            <w:sz w:val="24"/>
            <w:szCs w:val="24"/>
          </w:rPr>
        </w:pPr>
      </w:p>
      <w:p w14:paraId="1348B55E" w14:textId="77777777" w:rsidR="00137D26" w:rsidRDefault="00B17119" w:rsidP="00137D26">
        <w:pPr>
          <w:pStyle w:val="Footer"/>
          <w:jc w:val="right"/>
        </w:pPr>
      </w:p>
    </w:sdtContent>
  </w:sdt>
  <w:p w14:paraId="67629FC0" w14:textId="77777777" w:rsidR="005250A2" w:rsidRDefault="005250A2" w:rsidP="00137D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BFA426" w14:textId="77777777" w:rsidR="00F5489B" w:rsidRDefault="00F5489B" w:rsidP="00137D26">
      <w:r>
        <w:separator/>
      </w:r>
    </w:p>
  </w:footnote>
  <w:footnote w:type="continuationSeparator" w:id="0">
    <w:p w14:paraId="2AD6A839" w14:textId="77777777" w:rsidR="00F5489B" w:rsidRDefault="00F5489B" w:rsidP="00137D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B684B" w14:textId="77777777" w:rsidR="00391849" w:rsidRDefault="00391849" w:rsidP="00391849">
    <w:pPr>
      <w:jc w:val="right"/>
      <w:rPr>
        <w:rStyle w:val="Hyperlink"/>
        <w:rFonts w:ascii="Arial" w:hAnsi="Arial" w:cs="Arial"/>
        <w:b/>
        <w:color w:val="0083C1" w:themeColor="background1"/>
      </w:rPr>
    </w:pPr>
    <w:r>
      <w:rPr>
        <w:noProof/>
        <w:lang w:val="nl-BE" w:eastAsia="nl-BE" w:bidi="ar-SA"/>
      </w:rPr>
      <w:drawing>
        <wp:anchor distT="0" distB="0" distL="114300" distR="114300" simplePos="0" relativeHeight="251657216"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r>
        <w:rPr>
          <w:rStyle w:val="Hyperlink"/>
          <w:rFonts w:ascii="Arial" w:hAnsi="Arial"/>
          <w:b/>
          <w:color w:val="0083C1" w:themeColor="background1"/>
        </w:rPr>
        <w:t>www.daikin.eu</w:t>
      </w:r>
    </w:hyperlink>
  </w:p>
  <w:p w14:paraId="1C2CD9FE" w14:textId="77777777" w:rsidR="00692B98" w:rsidRDefault="00692B98" w:rsidP="00391849">
    <w:pPr>
      <w:jc w:val="right"/>
      <w:rPr>
        <w:rStyle w:val="Hyperlink"/>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648"/>
    <w:rsid w:val="00012A26"/>
    <w:rsid w:val="0002576A"/>
    <w:rsid w:val="0002718E"/>
    <w:rsid w:val="00032BAB"/>
    <w:rsid w:val="00034675"/>
    <w:rsid w:val="0005346B"/>
    <w:rsid w:val="000551D5"/>
    <w:rsid w:val="00055966"/>
    <w:rsid w:val="00063F4C"/>
    <w:rsid w:val="00077AD3"/>
    <w:rsid w:val="000A7D2F"/>
    <w:rsid w:val="000B6BD3"/>
    <w:rsid w:val="000C11B9"/>
    <w:rsid w:val="000C5AEB"/>
    <w:rsid w:val="000C65B2"/>
    <w:rsid w:val="000D1C07"/>
    <w:rsid w:val="000F6F8D"/>
    <w:rsid w:val="001052F1"/>
    <w:rsid w:val="00111112"/>
    <w:rsid w:val="00111767"/>
    <w:rsid w:val="00126D35"/>
    <w:rsid w:val="001374D4"/>
    <w:rsid w:val="00137D26"/>
    <w:rsid w:val="00146C07"/>
    <w:rsid w:val="00150B88"/>
    <w:rsid w:val="00175EAB"/>
    <w:rsid w:val="001855AF"/>
    <w:rsid w:val="00185D2A"/>
    <w:rsid w:val="001932D1"/>
    <w:rsid w:val="001B0667"/>
    <w:rsid w:val="001C36CE"/>
    <w:rsid w:val="001C50CA"/>
    <w:rsid w:val="001E09ED"/>
    <w:rsid w:val="001F1648"/>
    <w:rsid w:val="00201025"/>
    <w:rsid w:val="00203538"/>
    <w:rsid w:val="00204D8A"/>
    <w:rsid w:val="002113C3"/>
    <w:rsid w:val="0021300E"/>
    <w:rsid w:val="00216755"/>
    <w:rsid w:val="00257D4E"/>
    <w:rsid w:val="0026092F"/>
    <w:rsid w:val="002635C5"/>
    <w:rsid w:val="00276E2E"/>
    <w:rsid w:val="00290B0C"/>
    <w:rsid w:val="002A1789"/>
    <w:rsid w:val="002A2BE5"/>
    <w:rsid w:val="002C5851"/>
    <w:rsid w:val="002C788C"/>
    <w:rsid w:val="002E1371"/>
    <w:rsid w:val="002E68F4"/>
    <w:rsid w:val="0030354B"/>
    <w:rsid w:val="003066D0"/>
    <w:rsid w:val="00327B35"/>
    <w:rsid w:val="00330ABB"/>
    <w:rsid w:val="00331E9E"/>
    <w:rsid w:val="00332661"/>
    <w:rsid w:val="00333EA4"/>
    <w:rsid w:val="00345EDE"/>
    <w:rsid w:val="0035632C"/>
    <w:rsid w:val="0035723A"/>
    <w:rsid w:val="00363414"/>
    <w:rsid w:val="00375FEF"/>
    <w:rsid w:val="00383E7F"/>
    <w:rsid w:val="00384EB9"/>
    <w:rsid w:val="00391849"/>
    <w:rsid w:val="003951F0"/>
    <w:rsid w:val="0039650B"/>
    <w:rsid w:val="00396EAD"/>
    <w:rsid w:val="00397967"/>
    <w:rsid w:val="00397AF0"/>
    <w:rsid w:val="003A3CC5"/>
    <w:rsid w:val="003A3FBE"/>
    <w:rsid w:val="003B5634"/>
    <w:rsid w:val="003D699D"/>
    <w:rsid w:val="003D7295"/>
    <w:rsid w:val="003E1AE9"/>
    <w:rsid w:val="003F4901"/>
    <w:rsid w:val="00400866"/>
    <w:rsid w:val="004041C4"/>
    <w:rsid w:val="00406228"/>
    <w:rsid w:val="00410B7A"/>
    <w:rsid w:val="004122B7"/>
    <w:rsid w:val="00415B04"/>
    <w:rsid w:val="0041780C"/>
    <w:rsid w:val="004278DB"/>
    <w:rsid w:val="00436F6C"/>
    <w:rsid w:val="004408C0"/>
    <w:rsid w:val="00440C0E"/>
    <w:rsid w:val="00452601"/>
    <w:rsid w:val="004669A3"/>
    <w:rsid w:val="00471687"/>
    <w:rsid w:val="00475D0E"/>
    <w:rsid w:val="00475EC3"/>
    <w:rsid w:val="00491B3B"/>
    <w:rsid w:val="004A7AA8"/>
    <w:rsid w:val="004C2489"/>
    <w:rsid w:val="004C4C87"/>
    <w:rsid w:val="004D47A7"/>
    <w:rsid w:val="004D723E"/>
    <w:rsid w:val="004E66FE"/>
    <w:rsid w:val="004F2588"/>
    <w:rsid w:val="004F5BF7"/>
    <w:rsid w:val="00522446"/>
    <w:rsid w:val="005250A2"/>
    <w:rsid w:val="00531EBF"/>
    <w:rsid w:val="005343EB"/>
    <w:rsid w:val="0054553C"/>
    <w:rsid w:val="00560070"/>
    <w:rsid w:val="0056399E"/>
    <w:rsid w:val="00563CA8"/>
    <w:rsid w:val="0058361C"/>
    <w:rsid w:val="005856CC"/>
    <w:rsid w:val="00591880"/>
    <w:rsid w:val="005B2ACB"/>
    <w:rsid w:val="005B4729"/>
    <w:rsid w:val="005B48B9"/>
    <w:rsid w:val="005B7930"/>
    <w:rsid w:val="005E2077"/>
    <w:rsid w:val="006009B6"/>
    <w:rsid w:val="00600F81"/>
    <w:rsid w:val="00606360"/>
    <w:rsid w:val="006423F2"/>
    <w:rsid w:val="00685F0D"/>
    <w:rsid w:val="00692B98"/>
    <w:rsid w:val="00693DC0"/>
    <w:rsid w:val="006A5B5D"/>
    <w:rsid w:val="006D533C"/>
    <w:rsid w:val="006E3B03"/>
    <w:rsid w:val="006E441D"/>
    <w:rsid w:val="006E5B79"/>
    <w:rsid w:val="006E7698"/>
    <w:rsid w:val="006F58A2"/>
    <w:rsid w:val="007004E9"/>
    <w:rsid w:val="0071291E"/>
    <w:rsid w:val="00712B10"/>
    <w:rsid w:val="007145EE"/>
    <w:rsid w:val="0071740C"/>
    <w:rsid w:val="00723B42"/>
    <w:rsid w:val="00723CB7"/>
    <w:rsid w:val="00743631"/>
    <w:rsid w:val="00746A25"/>
    <w:rsid w:val="00781ADD"/>
    <w:rsid w:val="007908F9"/>
    <w:rsid w:val="00797F32"/>
    <w:rsid w:val="007A521D"/>
    <w:rsid w:val="007B2CDF"/>
    <w:rsid w:val="007C56E8"/>
    <w:rsid w:val="008000C9"/>
    <w:rsid w:val="00801174"/>
    <w:rsid w:val="00802523"/>
    <w:rsid w:val="008039C4"/>
    <w:rsid w:val="00803C20"/>
    <w:rsid w:val="008043FE"/>
    <w:rsid w:val="00805CEA"/>
    <w:rsid w:val="00835742"/>
    <w:rsid w:val="00835BEB"/>
    <w:rsid w:val="00844E38"/>
    <w:rsid w:val="00863405"/>
    <w:rsid w:val="008760AB"/>
    <w:rsid w:val="00885DD1"/>
    <w:rsid w:val="008A772E"/>
    <w:rsid w:val="008D1149"/>
    <w:rsid w:val="008D133B"/>
    <w:rsid w:val="008D3159"/>
    <w:rsid w:val="008E167D"/>
    <w:rsid w:val="008E507F"/>
    <w:rsid w:val="008E5E9E"/>
    <w:rsid w:val="009000D2"/>
    <w:rsid w:val="00914B28"/>
    <w:rsid w:val="0093552D"/>
    <w:rsid w:val="00941C57"/>
    <w:rsid w:val="009421C2"/>
    <w:rsid w:val="00943D25"/>
    <w:rsid w:val="00961EE8"/>
    <w:rsid w:val="00974C50"/>
    <w:rsid w:val="009919D7"/>
    <w:rsid w:val="009A01A6"/>
    <w:rsid w:val="009A3630"/>
    <w:rsid w:val="009A4946"/>
    <w:rsid w:val="009A723B"/>
    <w:rsid w:val="009B0ABD"/>
    <w:rsid w:val="009B6529"/>
    <w:rsid w:val="009C1545"/>
    <w:rsid w:val="009D2FA7"/>
    <w:rsid w:val="009D3F7B"/>
    <w:rsid w:val="009D73A6"/>
    <w:rsid w:val="009D741A"/>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A7F"/>
    <w:rsid w:val="00AB245B"/>
    <w:rsid w:val="00AB362D"/>
    <w:rsid w:val="00AB4F85"/>
    <w:rsid w:val="00AE1BC5"/>
    <w:rsid w:val="00AE2181"/>
    <w:rsid w:val="00B17119"/>
    <w:rsid w:val="00B26DE8"/>
    <w:rsid w:val="00B32476"/>
    <w:rsid w:val="00B40F0F"/>
    <w:rsid w:val="00B438FA"/>
    <w:rsid w:val="00B63095"/>
    <w:rsid w:val="00B67BB8"/>
    <w:rsid w:val="00B72B8B"/>
    <w:rsid w:val="00B73A9E"/>
    <w:rsid w:val="00B816F4"/>
    <w:rsid w:val="00B870EC"/>
    <w:rsid w:val="00BA5F89"/>
    <w:rsid w:val="00BB6D28"/>
    <w:rsid w:val="00BC73C3"/>
    <w:rsid w:val="00BD0496"/>
    <w:rsid w:val="00BD2756"/>
    <w:rsid w:val="00BD4CA4"/>
    <w:rsid w:val="00BF3DAC"/>
    <w:rsid w:val="00BF5203"/>
    <w:rsid w:val="00C04673"/>
    <w:rsid w:val="00C12068"/>
    <w:rsid w:val="00C50180"/>
    <w:rsid w:val="00C528E2"/>
    <w:rsid w:val="00C55412"/>
    <w:rsid w:val="00C64164"/>
    <w:rsid w:val="00C65B32"/>
    <w:rsid w:val="00C7000C"/>
    <w:rsid w:val="00C71D5A"/>
    <w:rsid w:val="00C7423D"/>
    <w:rsid w:val="00C86436"/>
    <w:rsid w:val="00CA6010"/>
    <w:rsid w:val="00CA6FDF"/>
    <w:rsid w:val="00CA7B53"/>
    <w:rsid w:val="00CB3118"/>
    <w:rsid w:val="00CC7C05"/>
    <w:rsid w:val="00D01A1F"/>
    <w:rsid w:val="00D03CC8"/>
    <w:rsid w:val="00D07426"/>
    <w:rsid w:val="00D172CA"/>
    <w:rsid w:val="00D52294"/>
    <w:rsid w:val="00D54049"/>
    <w:rsid w:val="00D55C54"/>
    <w:rsid w:val="00D625D6"/>
    <w:rsid w:val="00D644BD"/>
    <w:rsid w:val="00D706CB"/>
    <w:rsid w:val="00D71A11"/>
    <w:rsid w:val="00D72766"/>
    <w:rsid w:val="00D96F31"/>
    <w:rsid w:val="00DA120C"/>
    <w:rsid w:val="00DA7016"/>
    <w:rsid w:val="00DB3FBB"/>
    <w:rsid w:val="00DC3A21"/>
    <w:rsid w:val="00DD404C"/>
    <w:rsid w:val="00DD58E3"/>
    <w:rsid w:val="00E2594B"/>
    <w:rsid w:val="00E2746A"/>
    <w:rsid w:val="00E3286B"/>
    <w:rsid w:val="00E33D84"/>
    <w:rsid w:val="00E36203"/>
    <w:rsid w:val="00E3651D"/>
    <w:rsid w:val="00E431DA"/>
    <w:rsid w:val="00E5511B"/>
    <w:rsid w:val="00E55D29"/>
    <w:rsid w:val="00E56013"/>
    <w:rsid w:val="00E64D6C"/>
    <w:rsid w:val="00E81FED"/>
    <w:rsid w:val="00E827D8"/>
    <w:rsid w:val="00E82A4F"/>
    <w:rsid w:val="00E913B1"/>
    <w:rsid w:val="00E95BB1"/>
    <w:rsid w:val="00EA1024"/>
    <w:rsid w:val="00EA3DE7"/>
    <w:rsid w:val="00EC24A8"/>
    <w:rsid w:val="00EC32A0"/>
    <w:rsid w:val="00EC5E91"/>
    <w:rsid w:val="00ED6A5F"/>
    <w:rsid w:val="00ED6EC1"/>
    <w:rsid w:val="00EF6242"/>
    <w:rsid w:val="00EF7301"/>
    <w:rsid w:val="00F04E2A"/>
    <w:rsid w:val="00F15B86"/>
    <w:rsid w:val="00F21317"/>
    <w:rsid w:val="00F23523"/>
    <w:rsid w:val="00F278A7"/>
    <w:rsid w:val="00F371AA"/>
    <w:rsid w:val="00F443BC"/>
    <w:rsid w:val="00F45A6E"/>
    <w:rsid w:val="00F541E7"/>
    <w:rsid w:val="00F5489B"/>
    <w:rsid w:val="00F629F1"/>
    <w:rsid w:val="00F70127"/>
    <w:rsid w:val="00F752C7"/>
    <w:rsid w:val="00F87415"/>
    <w:rsid w:val="00F95727"/>
    <w:rsid w:val="00FA2CBB"/>
    <w:rsid w:val="00FB1E2E"/>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F0162F"/>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6529"/>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3A3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s-ES" w:eastAsia="es-ES"/>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s-ES" w:eastAsia="es-ES"/>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s-ES"/>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s-ES" w:eastAsia="es-ES"/>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s-ES"/>
    </w:rPr>
  </w:style>
  <w:style w:type="character" w:customStyle="1" w:styleId="Heading6Char">
    <w:name w:val="Heading 6 Char"/>
    <w:basedOn w:val="DefaultParagraphFont"/>
    <w:link w:val="Heading6"/>
    <w:rsid w:val="00801174"/>
    <w:rPr>
      <w:rFonts w:ascii="Arial" w:eastAsia="MS Mincho" w:hAnsi="Arial" w:cs="Times New Roman"/>
      <w:b/>
      <w:bCs/>
      <w:lang w:val="es-ES"/>
    </w:rPr>
  </w:style>
  <w:style w:type="character" w:customStyle="1" w:styleId="Heading7Char">
    <w:name w:val="Heading 7 Char"/>
    <w:basedOn w:val="DefaultParagraphFont"/>
    <w:link w:val="Heading7"/>
    <w:rsid w:val="00801174"/>
    <w:rPr>
      <w:rFonts w:ascii="Arial" w:eastAsia="MS Mincho" w:hAnsi="Arial" w:cs="Times New Roman"/>
      <w:sz w:val="20"/>
      <w:szCs w:val="24"/>
      <w:lang w:val="es-ES"/>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s-ES"/>
    </w:rPr>
  </w:style>
  <w:style w:type="character" w:customStyle="1" w:styleId="Heading9Char">
    <w:name w:val="Heading 9 Char"/>
    <w:basedOn w:val="DefaultParagraphFont"/>
    <w:link w:val="Heading9"/>
    <w:rsid w:val="00801174"/>
    <w:rPr>
      <w:rFonts w:ascii="Arial" w:eastAsia="MS Mincho" w:hAnsi="Arial" w:cs="Times New Roman"/>
      <w:lang w:val="es-ES"/>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s-ES" w:eastAsia="es-ES"/>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s-ES" w:eastAsia="es-ES"/>
    </w:rPr>
  </w:style>
  <w:style w:type="character" w:customStyle="1" w:styleId="BodyCopyChar">
    <w:name w:val="Body Copy Char"/>
    <w:basedOn w:val="DefaultParagraphFont"/>
    <w:link w:val="BodyCopy"/>
    <w:rsid w:val="006A5B5D"/>
    <w:rPr>
      <w:lang w:eastAsia="es-ES"/>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s-ES" w:eastAsia="es-ES"/>
    </w:rPr>
  </w:style>
  <w:style w:type="character" w:customStyle="1" w:styleId="Mencinsinresolver1">
    <w:name w:val="Mención sin resolver1"/>
    <w:basedOn w:val="DefaultParagraphFont"/>
    <w:uiPriority w:val="99"/>
    <w:semiHidden/>
    <w:unhideWhenUsed/>
    <w:rsid w:val="00723B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ikin-News@sheremarketing.co.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aikin.eu/VRV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aikin.eu/building-a-circular-econom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D872C7541E90B4F88BEB8A8C1C42CB8" ma:contentTypeVersion="12" ma:contentTypeDescription="Een nieuw document maken." ma:contentTypeScope="" ma:versionID="b083ea84414de09daa6d86167c0849d4">
  <xsd:schema xmlns:xsd="http://www.w3.org/2001/XMLSchema" xmlns:xs="http://www.w3.org/2001/XMLSchema" xmlns:p="http://schemas.microsoft.com/office/2006/metadata/properties" xmlns:ns2="024ab663-3113-49e2-a8c6-71804d257e0c" xmlns:ns3="7e7ebea0-0f05-4d8d-876a-d9a546a6668a" targetNamespace="http://schemas.microsoft.com/office/2006/metadata/properties" ma:root="true" ma:fieldsID="3e4610fb14c16509f06265717ec50c31" ns2:_="" ns3:_="">
    <xsd:import namespace="024ab663-3113-49e2-a8c6-71804d257e0c"/>
    <xsd:import namespace="7e7ebea0-0f05-4d8d-876a-d9a546a666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ab663-3113-49e2-a8c6-71804d257e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e7ebea0-0f05-4d8d-876a-d9a546a6668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01EFC-FE54-43D3-9D86-0E80652304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03A343-B863-4F91-BC1E-834049E3F3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4ab663-3113-49e2-a8c6-71804d257e0c"/>
    <ds:schemaRef ds:uri="7e7ebea0-0f05-4d8d-876a-d9a546a666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8B9615-1344-4822-88A8-54CDD354471F}">
  <ds:schemaRefs>
    <ds:schemaRef ds:uri="http://schemas.microsoft.com/sharepoint/v3/contenttype/forms"/>
  </ds:schemaRefs>
</ds:datastoreItem>
</file>

<file path=customXml/itemProps4.xml><?xml version="1.0" encoding="utf-8"?>
<ds:datastoreItem xmlns:ds="http://schemas.openxmlformats.org/officeDocument/2006/customXml" ds:itemID="{DCA67530-9BF9-4165-9CB2-F6B0E995B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583</Words>
  <Characters>3211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3787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katrien.van.extergem</cp:lastModifiedBy>
  <cp:revision>29</cp:revision>
  <cp:lastPrinted>2016-05-31T11:31:00Z</cp:lastPrinted>
  <dcterms:created xsi:type="dcterms:W3CDTF">2016-06-20T13:55:00Z</dcterms:created>
  <dcterms:modified xsi:type="dcterms:W3CDTF">2020-02-05T14:04:00Z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0x0101004D872C7541E90B4F88BEB8A8C1C42CB8</vt:lpwstr>
  </property>
</Properties>
</file>